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2018年部门预算编制说明</w:t>
      </w:r>
    </w:p>
    <w:p>
      <w:pPr>
        <w:spacing w:line="660" w:lineRule="exact"/>
        <w:rPr>
          <w:rFonts w:asciiTheme="minorEastAsia" w:hAnsiTheme="minorEastAsia" w:eastAsiaTheme="minorEastAsia" w:cstheme="minorEastAsia"/>
          <w:sz w:val="32"/>
          <w:szCs w:val="32"/>
        </w:rPr>
      </w:pPr>
    </w:p>
    <w:p>
      <w:pPr>
        <w:spacing w:line="6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一、部门情况</w:t>
      </w:r>
    </w:p>
    <w:p>
      <w:pPr>
        <w:spacing w:line="660" w:lineRule="exact"/>
        <w:ind w:firstLine="64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（一）部门机构设置、职责</w:t>
      </w:r>
    </w:p>
    <w:p>
      <w:pPr>
        <w:pStyle w:val="2"/>
        <w:spacing w:beforeAutospacing="0" w:afterAutospacing="0" w:line="360" w:lineRule="auto"/>
        <w:ind w:firstLine="640" w:firstLineChars="200"/>
        <w:jc w:val="both"/>
        <w:rPr>
          <w:rFonts w:asciiTheme="majorEastAsia" w:hAnsiTheme="majorEastAsia" w:eastAsiaTheme="majorEastAsia"/>
          <w:sz w:val="32"/>
          <w:szCs w:val="32"/>
        </w:rPr>
      </w:pPr>
      <w:r>
        <w:rPr>
          <w:rFonts w:asciiTheme="majorEastAsia" w:hAnsiTheme="majorEastAsia" w:eastAsiaTheme="majorEastAsia"/>
          <w:sz w:val="32"/>
          <w:szCs w:val="32"/>
        </w:rPr>
        <w:t>人民法院是国家的审判机关，在县委的领导和市中级人民法院的指导下依法独立行使审判权，对县人民代表大会及其常务委员会负责并报告工作。</w:t>
      </w:r>
      <w:r>
        <w:rPr>
          <w:rFonts w:hint="eastAsia" w:asciiTheme="majorEastAsia" w:hAnsiTheme="majorEastAsia" w:eastAsiaTheme="majorEastAsia"/>
          <w:sz w:val="32"/>
          <w:szCs w:val="32"/>
        </w:rPr>
        <w:t>单位内设机构有办公室、政治处、行政庭、监察室、法警队、执行局、刑事庭、审监庭、民一庭、民二庭、立案庭。下设机构有东村庭、普明庭、岚城庭。</w:t>
      </w:r>
      <w:r>
        <w:rPr>
          <w:rFonts w:asciiTheme="majorEastAsia" w:hAnsiTheme="majorEastAsia" w:eastAsiaTheme="majorEastAsia"/>
          <w:sz w:val="32"/>
          <w:szCs w:val="32"/>
        </w:rPr>
        <w:t>主要职责是：</w:t>
      </w:r>
      <w:r>
        <w:rPr>
          <w:rFonts w:asciiTheme="majorEastAsia" w:hAnsiTheme="majorEastAsia" w:eastAsiaTheme="majorEastAsia"/>
          <w:sz w:val="32"/>
          <w:szCs w:val="32"/>
        </w:rPr>
        <w:br w:type="textWrapping"/>
      </w:r>
      <w:r>
        <w:rPr>
          <w:rFonts w:asciiTheme="majorEastAsia" w:hAnsiTheme="majorEastAsia" w:eastAsiaTheme="majorEastAsia"/>
          <w:sz w:val="32"/>
          <w:szCs w:val="32"/>
        </w:rPr>
        <w:t>1</w:t>
      </w:r>
      <w:r>
        <w:rPr>
          <w:rFonts w:hint="eastAsia" w:asciiTheme="majorEastAsia" w:hAnsiTheme="majorEastAsia" w:eastAsiaTheme="majorEastAsia"/>
          <w:sz w:val="32"/>
          <w:szCs w:val="32"/>
        </w:rPr>
        <w:t>、</w:t>
      </w:r>
      <w:r>
        <w:rPr>
          <w:rFonts w:asciiTheme="majorEastAsia" w:hAnsiTheme="majorEastAsia" w:eastAsiaTheme="majorEastAsia"/>
          <w:sz w:val="32"/>
          <w:szCs w:val="32"/>
        </w:rPr>
        <w:t>审判法律规定由基层法院管辖的刑事、民事、行政案件。</w:t>
      </w:r>
      <w:r>
        <w:rPr>
          <w:rFonts w:asciiTheme="majorEastAsia" w:hAnsiTheme="majorEastAsia" w:eastAsiaTheme="majorEastAsia"/>
          <w:sz w:val="32"/>
          <w:szCs w:val="32"/>
        </w:rPr>
        <w:br w:type="textWrapping"/>
      </w:r>
      <w:r>
        <w:rPr>
          <w:rFonts w:asciiTheme="majorEastAsia" w:hAnsiTheme="majorEastAsia" w:eastAsiaTheme="majorEastAsia"/>
          <w:sz w:val="32"/>
          <w:szCs w:val="32"/>
        </w:rPr>
        <w:t>2</w:t>
      </w:r>
      <w:r>
        <w:rPr>
          <w:rFonts w:hint="eastAsia" w:asciiTheme="majorEastAsia" w:hAnsiTheme="majorEastAsia" w:eastAsiaTheme="majorEastAsia"/>
          <w:sz w:val="32"/>
          <w:szCs w:val="32"/>
        </w:rPr>
        <w:t>、</w:t>
      </w:r>
      <w:r>
        <w:rPr>
          <w:rFonts w:asciiTheme="majorEastAsia" w:hAnsiTheme="majorEastAsia" w:eastAsiaTheme="majorEastAsia"/>
          <w:sz w:val="32"/>
          <w:szCs w:val="32"/>
        </w:rPr>
        <w:t>审理由市人民检察院按照审判监督程序提起的抗诉案件。</w:t>
      </w:r>
      <w:r>
        <w:rPr>
          <w:rFonts w:asciiTheme="majorEastAsia" w:hAnsiTheme="majorEastAsia" w:eastAsiaTheme="majorEastAsia"/>
          <w:sz w:val="32"/>
          <w:szCs w:val="32"/>
        </w:rPr>
        <w:br w:type="textWrapping"/>
      </w:r>
      <w:r>
        <w:rPr>
          <w:rFonts w:asciiTheme="majorEastAsia" w:hAnsiTheme="majorEastAsia" w:eastAsiaTheme="majorEastAsia"/>
          <w:sz w:val="32"/>
          <w:szCs w:val="32"/>
        </w:rPr>
        <w:t>3</w:t>
      </w:r>
      <w:r>
        <w:rPr>
          <w:rFonts w:hint="eastAsia" w:asciiTheme="majorEastAsia" w:hAnsiTheme="majorEastAsia" w:eastAsiaTheme="majorEastAsia"/>
          <w:sz w:val="32"/>
          <w:szCs w:val="32"/>
        </w:rPr>
        <w:t>、</w:t>
      </w:r>
      <w:r>
        <w:rPr>
          <w:rFonts w:asciiTheme="majorEastAsia" w:hAnsiTheme="majorEastAsia" w:eastAsiaTheme="majorEastAsia"/>
          <w:sz w:val="32"/>
          <w:szCs w:val="32"/>
        </w:rPr>
        <w:t>依照审判监督程序，审理告诉申诉的刑事、民事、行政案件。</w:t>
      </w:r>
    </w:p>
    <w:p>
      <w:pPr>
        <w:pStyle w:val="2"/>
        <w:spacing w:beforeAutospacing="0" w:afterAutospacing="0" w:line="360" w:lineRule="auto"/>
        <w:jc w:val="both"/>
        <w:rPr>
          <w:rFonts w:asciiTheme="majorEastAsia" w:hAnsiTheme="majorEastAsia" w:eastAsiaTheme="majorEastAsia"/>
          <w:sz w:val="32"/>
          <w:szCs w:val="32"/>
        </w:rPr>
      </w:pPr>
      <w:r>
        <w:rPr>
          <w:rFonts w:asciiTheme="majorEastAsia" w:hAnsiTheme="majorEastAsia" w:eastAsiaTheme="majorEastAsia"/>
          <w:sz w:val="32"/>
          <w:szCs w:val="32"/>
        </w:rPr>
        <w:t>4</w:t>
      </w:r>
      <w:r>
        <w:rPr>
          <w:rFonts w:hint="eastAsia" w:asciiTheme="majorEastAsia" w:hAnsiTheme="majorEastAsia" w:eastAsiaTheme="majorEastAsia"/>
          <w:sz w:val="32"/>
          <w:szCs w:val="32"/>
        </w:rPr>
        <w:t>、</w:t>
      </w:r>
      <w:r>
        <w:rPr>
          <w:rFonts w:asciiTheme="majorEastAsia" w:hAnsiTheme="majorEastAsia" w:eastAsiaTheme="majorEastAsia"/>
          <w:sz w:val="32"/>
          <w:szCs w:val="32"/>
        </w:rPr>
        <w:t>依法行使司法执行权和司法决定权，执行本院已经发生法律效力的判决、裁定以及国家行政机关申请执行的案件和外地法院委托执行的案件。</w:t>
      </w:r>
      <w:r>
        <w:rPr>
          <w:rFonts w:asciiTheme="majorEastAsia" w:hAnsiTheme="majorEastAsia" w:eastAsiaTheme="majorEastAsia"/>
          <w:sz w:val="32"/>
          <w:szCs w:val="32"/>
        </w:rPr>
        <w:br w:type="textWrapping"/>
      </w:r>
      <w:r>
        <w:rPr>
          <w:rFonts w:asciiTheme="majorEastAsia" w:hAnsiTheme="majorEastAsia" w:eastAsiaTheme="majorEastAsia"/>
          <w:sz w:val="32"/>
          <w:szCs w:val="32"/>
        </w:rPr>
        <w:t>5</w:t>
      </w:r>
      <w:r>
        <w:rPr>
          <w:rFonts w:hint="eastAsia" w:asciiTheme="majorEastAsia" w:hAnsiTheme="majorEastAsia" w:eastAsiaTheme="majorEastAsia"/>
          <w:sz w:val="32"/>
          <w:szCs w:val="32"/>
        </w:rPr>
        <w:t>、</w:t>
      </w:r>
      <w:r>
        <w:rPr>
          <w:rFonts w:asciiTheme="majorEastAsia" w:hAnsiTheme="majorEastAsia" w:eastAsiaTheme="majorEastAsia"/>
          <w:sz w:val="32"/>
          <w:szCs w:val="32"/>
        </w:rPr>
        <w:t>调查研究审判工作中的法律、法规、规章、政策及疑难问题，针对案件审理中发现的问题提出司法建议。　</w:t>
      </w:r>
    </w:p>
    <w:p>
      <w:pPr>
        <w:pStyle w:val="2"/>
        <w:spacing w:beforeAutospacing="0" w:afterAutospacing="0" w:line="360" w:lineRule="auto"/>
        <w:jc w:val="both"/>
        <w:rPr>
          <w:rFonts w:asciiTheme="majorEastAsia" w:hAnsiTheme="majorEastAsia" w:eastAsiaTheme="majorEastAsia"/>
          <w:sz w:val="32"/>
          <w:szCs w:val="32"/>
        </w:rPr>
      </w:pPr>
      <w:r>
        <w:rPr>
          <w:rFonts w:asciiTheme="majorEastAsia" w:hAnsiTheme="majorEastAsia" w:eastAsiaTheme="majorEastAsia"/>
          <w:sz w:val="32"/>
          <w:szCs w:val="32"/>
        </w:rPr>
        <w:t>6</w:t>
      </w:r>
      <w:r>
        <w:rPr>
          <w:rFonts w:hint="eastAsia" w:asciiTheme="majorEastAsia" w:hAnsiTheme="majorEastAsia" w:eastAsiaTheme="majorEastAsia"/>
          <w:sz w:val="32"/>
          <w:szCs w:val="32"/>
        </w:rPr>
        <w:t>、</w:t>
      </w:r>
      <w:r>
        <w:rPr>
          <w:rFonts w:asciiTheme="majorEastAsia" w:hAnsiTheme="majorEastAsia" w:eastAsiaTheme="majorEastAsia"/>
          <w:sz w:val="32"/>
          <w:szCs w:val="32"/>
        </w:rPr>
        <w:t>对县人民法院的法官和其他工作人员进行思想政治教育、组织专业培训；按照权限管理法官和其他工作人员；协助县机构编制主管部门管理人民法院的机构编制工作。</w:t>
      </w:r>
      <w:r>
        <w:rPr>
          <w:rFonts w:asciiTheme="majorEastAsia" w:hAnsiTheme="majorEastAsia" w:eastAsiaTheme="majorEastAsia"/>
          <w:sz w:val="32"/>
          <w:szCs w:val="32"/>
        </w:rPr>
        <w:br w:type="textWrapping"/>
      </w:r>
      <w:r>
        <w:rPr>
          <w:rFonts w:asciiTheme="majorEastAsia" w:hAnsiTheme="majorEastAsia" w:eastAsiaTheme="majorEastAsia"/>
          <w:sz w:val="32"/>
          <w:szCs w:val="32"/>
        </w:rPr>
        <w:t>7</w:t>
      </w:r>
      <w:r>
        <w:rPr>
          <w:rFonts w:hint="eastAsia" w:asciiTheme="majorEastAsia" w:hAnsiTheme="majorEastAsia" w:eastAsiaTheme="majorEastAsia"/>
          <w:sz w:val="32"/>
          <w:szCs w:val="32"/>
        </w:rPr>
        <w:t>、</w:t>
      </w:r>
      <w:r>
        <w:rPr>
          <w:rFonts w:asciiTheme="majorEastAsia" w:hAnsiTheme="majorEastAsia" w:eastAsiaTheme="majorEastAsia"/>
          <w:sz w:val="32"/>
          <w:szCs w:val="32"/>
        </w:rPr>
        <w:t>管理县人民法院的有关经费和物资装备。</w:t>
      </w:r>
      <w:r>
        <w:rPr>
          <w:rFonts w:asciiTheme="majorEastAsia" w:hAnsiTheme="majorEastAsia" w:eastAsiaTheme="majorEastAsia"/>
          <w:sz w:val="32"/>
          <w:szCs w:val="32"/>
        </w:rPr>
        <w:br w:type="textWrapping"/>
      </w:r>
      <w:r>
        <w:rPr>
          <w:rFonts w:asciiTheme="majorEastAsia" w:hAnsiTheme="majorEastAsia" w:eastAsiaTheme="majorEastAsia"/>
          <w:sz w:val="32"/>
          <w:szCs w:val="32"/>
        </w:rPr>
        <w:t>8</w:t>
      </w:r>
      <w:r>
        <w:rPr>
          <w:rFonts w:hint="eastAsia" w:asciiTheme="majorEastAsia" w:hAnsiTheme="majorEastAsia" w:eastAsiaTheme="majorEastAsia"/>
          <w:sz w:val="32"/>
          <w:szCs w:val="32"/>
        </w:rPr>
        <w:t>、</w:t>
      </w:r>
      <w:r>
        <w:rPr>
          <w:rFonts w:asciiTheme="majorEastAsia" w:hAnsiTheme="majorEastAsia" w:eastAsiaTheme="majorEastAsia"/>
          <w:sz w:val="32"/>
          <w:szCs w:val="32"/>
        </w:rPr>
        <w:t>参与社会治安综合治理工作，在审判工作中宣传法制，教育公民自觉遵守宪法、法律、法规和社会公德。</w:t>
      </w:r>
      <w:r>
        <w:rPr>
          <w:rFonts w:asciiTheme="majorEastAsia" w:hAnsiTheme="majorEastAsia" w:eastAsiaTheme="majorEastAsia"/>
          <w:sz w:val="32"/>
          <w:szCs w:val="32"/>
        </w:rPr>
        <w:br w:type="textWrapping"/>
      </w:r>
      <w:r>
        <w:rPr>
          <w:rFonts w:asciiTheme="majorEastAsia" w:hAnsiTheme="majorEastAsia" w:eastAsiaTheme="majorEastAsia"/>
          <w:sz w:val="32"/>
          <w:szCs w:val="32"/>
        </w:rPr>
        <w:t>　9</w:t>
      </w:r>
      <w:r>
        <w:rPr>
          <w:rFonts w:hint="eastAsia" w:asciiTheme="majorEastAsia" w:hAnsiTheme="majorEastAsia" w:eastAsiaTheme="majorEastAsia"/>
          <w:sz w:val="32"/>
          <w:szCs w:val="32"/>
        </w:rPr>
        <w:t>、</w:t>
      </w:r>
      <w:r>
        <w:rPr>
          <w:rFonts w:asciiTheme="majorEastAsia" w:hAnsiTheme="majorEastAsia" w:eastAsiaTheme="majorEastAsia"/>
          <w:sz w:val="32"/>
          <w:szCs w:val="32"/>
        </w:rPr>
        <w:t>承办其他应由县人民法院负责的工作</w:t>
      </w:r>
      <w:r>
        <w:rPr>
          <w:rFonts w:hint="eastAsia" w:asciiTheme="majorEastAsia" w:hAnsiTheme="majorEastAsia" w:eastAsiaTheme="majorEastAsia"/>
          <w:sz w:val="32"/>
          <w:szCs w:val="32"/>
        </w:rPr>
        <w:t>。</w:t>
      </w:r>
    </w:p>
    <w:p>
      <w:pPr>
        <w:spacing w:line="6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（二）人员构成情况</w:t>
      </w:r>
    </w:p>
    <w:p>
      <w:pPr>
        <w:spacing w:line="6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本单位行政编制3人;参公事业编制人；经费自理编制 人；事业编制 人，工勤编制0名；实际3人；长期聘用临时工40人。</w:t>
      </w:r>
    </w:p>
    <w:p>
      <w:pPr>
        <w:spacing w:line="6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离退休人员14人，其中：离休人，退休14人。</w:t>
      </w:r>
    </w:p>
    <w:p>
      <w:pPr>
        <w:numPr>
          <w:ilvl w:val="0"/>
          <w:numId w:val="1"/>
        </w:numPr>
        <w:spacing w:line="6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本预算年度的主要工作任务</w:t>
      </w:r>
    </w:p>
    <w:p>
      <w:pPr>
        <w:widowControl/>
        <w:shd w:val="clear" w:color="auto" w:fill="FFFFFF"/>
        <w:spacing w:line="640" w:lineRule="exact"/>
        <w:ind w:firstLine="640" w:firstLineChars="200"/>
        <w:rPr>
          <w:rFonts w:ascii="仿宋" w:hAnsi="仿宋" w:eastAsia="仿宋" w:cs="仿宋"/>
          <w:b/>
          <w:bCs/>
          <w:color w:val="000000"/>
          <w:sz w:val="32"/>
          <w:szCs w:val="32"/>
        </w:rPr>
      </w:pPr>
      <w:r>
        <w:rPr>
          <w:rFonts w:hint="eastAsia" w:ascii="仿宋" w:hAnsi="仿宋" w:eastAsia="仿宋" w:cs="仿宋"/>
          <w:color w:val="000000"/>
          <w:kern w:val="0"/>
          <w:sz w:val="32"/>
          <w:szCs w:val="32"/>
          <w:shd w:val="clear" w:color="auto" w:fill="FFFFFF"/>
        </w:rPr>
        <w:t>2018年，是全面学习宣传贯彻党的十九大精神的开局之年，也是司法责任制改革向纵深推进的关键之年，我院将</w:t>
      </w:r>
      <w:r>
        <w:rPr>
          <w:rFonts w:hint="eastAsia" w:ascii="仿宋" w:hAnsi="仿宋" w:eastAsia="仿宋" w:cs="仿宋"/>
          <w:b/>
          <w:bCs/>
          <w:color w:val="000000"/>
          <w:kern w:val="0"/>
          <w:sz w:val="32"/>
          <w:szCs w:val="32"/>
          <w:shd w:val="clear" w:color="auto" w:fill="FFFFFF"/>
        </w:rPr>
        <w:t>深入学习贯彻习近平新时代中国特色社会主义思想</w:t>
      </w:r>
      <w:r>
        <w:rPr>
          <w:rFonts w:hint="eastAsia" w:ascii="仿宋" w:hAnsi="仿宋" w:eastAsia="仿宋" w:cs="仿宋"/>
          <w:b/>
          <w:bCs/>
          <w:color w:val="000000"/>
          <w:kern w:val="0"/>
          <w:sz w:val="32"/>
          <w:szCs w:val="32"/>
          <w:shd w:val="clear" w:color="auto" w:fill="FFFFFF"/>
          <w:lang w:eastAsia="zh-CN"/>
        </w:rPr>
        <w:t>和党的十九大精神</w:t>
      </w:r>
      <w:bookmarkStart w:id="0" w:name="_GoBack"/>
      <w:bookmarkEnd w:id="0"/>
      <w:r>
        <w:rPr>
          <w:rFonts w:hint="eastAsia" w:ascii="仿宋" w:hAnsi="仿宋" w:eastAsia="仿宋" w:cs="仿宋"/>
          <w:b/>
          <w:bCs/>
          <w:color w:val="000000"/>
          <w:kern w:val="0"/>
          <w:sz w:val="32"/>
          <w:szCs w:val="32"/>
          <w:shd w:val="clear" w:color="auto" w:fill="FFFFFF"/>
        </w:rPr>
        <w:t>，坚持“司法为民、公正司法”工作主线，</w:t>
      </w:r>
      <w:r>
        <w:rPr>
          <w:rFonts w:hint="eastAsia" w:ascii="仿宋" w:hAnsi="仿宋" w:eastAsia="仿宋" w:cs="仿宋"/>
          <w:b/>
          <w:bCs/>
          <w:sz w:val="32"/>
          <w:szCs w:val="32"/>
        </w:rPr>
        <w:t>紧紧围绕县委“融入太原都市圈，打造省城后花园”战略目标，</w:t>
      </w:r>
      <w:r>
        <w:rPr>
          <w:rFonts w:hint="eastAsia" w:ascii="仿宋" w:hAnsi="仿宋" w:eastAsia="仿宋" w:cs="仿宋"/>
          <w:b/>
          <w:bCs/>
          <w:color w:val="000000"/>
          <w:kern w:val="0"/>
          <w:sz w:val="32"/>
          <w:szCs w:val="32"/>
          <w:shd w:val="clear" w:color="auto" w:fill="FFFFFF"/>
        </w:rPr>
        <w:t>细化责任，强化措施，充分发挥审判职能，</w:t>
      </w:r>
      <w:r>
        <w:rPr>
          <w:rFonts w:hint="eastAsia" w:ascii="仿宋" w:hAnsi="仿宋" w:eastAsia="仿宋" w:cs="仿宋"/>
          <w:b/>
          <w:bCs/>
          <w:sz w:val="32"/>
          <w:szCs w:val="32"/>
        </w:rPr>
        <w:t>为岚县转型跨越发展提供坚强有力的司法服务和保障</w:t>
      </w:r>
      <w:r>
        <w:rPr>
          <w:rFonts w:hint="eastAsia" w:ascii="仿宋" w:hAnsi="仿宋" w:eastAsia="仿宋" w:cs="仿宋"/>
          <w:b/>
          <w:bCs/>
          <w:color w:val="000000"/>
          <w:kern w:val="0"/>
          <w:sz w:val="32"/>
          <w:szCs w:val="32"/>
          <w:shd w:val="clear" w:color="auto" w:fill="FFFFFF"/>
        </w:rPr>
        <w:t>。</w:t>
      </w:r>
    </w:p>
    <w:p>
      <w:pPr>
        <w:widowControl/>
        <w:numPr>
          <w:ilvl w:val="0"/>
          <w:numId w:val="2"/>
        </w:numPr>
        <w:shd w:val="clear" w:color="auto" w:fill="FFFFFF"/>
        <w:spacing w:line="640" w:lineRule="exact"/>
        <w:ind w:firstLine="480"/>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坚定政治方向，在抓党建带队伍上有新气象</w:t>
      </w:r>
    </w:p>
    <w:p>
      <w:pPr>
        <w:widowControl/>
        <w:shd w:val="clear" w:color="auto" w:fill="FFFFFF"/>
        <w:spacing w:line="64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rPr>
        <w:t>继续深入学习贯彻党的十九大、十九届一中、二中全会精神和习近平新时代中国特色社会主义思想，全面提升干警政治理论水平。深入夯实党建责任，继续抓好党建述职评议工作，开展经常性党建督促检查，坚持“三会一课”，严肃党内政治生活。严格落实全面从严治党要求，创新活动载体，积极发挥团队桥梁纽带作用，激发队伍活力。严明政治纪律，加大执纪问责，坚决纠正和查处侵害群众利益的不正之风和腐败问题。坚持“标本兼治、综合治理、惩防并举、注重预防”方针，全面落实“两个责任”，立足思想教育、强化制度管理、狠抓作风督查，扎实推进党风廉政建设和反腐败工作。</w:t>
      </w:r>
    </w:p>
    <w:p>
      <w:pPr>
        <w:widowControl/>
        <w:shd w:val="clear" w:color="auto" w:fill="FFFFFF"/>
        <w:spacing w:line="640" w:lineRule="exact"/>
        <w:ind w:firstLine="640" w:firstLineChars="200"/>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二、围绕中心工作，在维护宪法和法律权威上有新举措</w:t>
      </w:r>
    </w:p>
    <w:p>
      <w:pPr>
        <w:widowControl/>
        <w:shd w:val="clear" w:color="auto" w:fill="FFFFFF"/>
        <w:spacing w:line="640" w:lineRule="exact"/>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紧紧围绕县委中心工作，充分发挥法院审判和执行职能，为全县经济社会平稳较快发展提供强有力的司法保障。刑事审判以严厉打击犯罪、维护社会稳定为重点，扎实开展扫黑除恶专项斗争，把打击的锋芒对准黑恶势力，净化社会环境；民事审判以定纷止争、案结事了人和为重点，最大限度维护当事人合法权益；执行工作以优化执行工作机制，构建信用惩戒大格局为重点，紧紧依靠党的领导，坚决打赢“基本解决执行难”攻坚战。</w:t>
      </w:r>
    </w:p>
    <w:p>
      <w:pPr>
        <w:widowControl/>
        <w:shd w:val="clear" w:color="auto" w:fill="FFFFFF"/>
        <w:spacing w:line="640" w:lineRule="exact"/>
        <w:ind w:firstLine="640" w:firstLineChars="200"/>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三、深化司法体制改革，在构建公正高效的审判机制上</w:t>
      </w:r>
    </w:p>
    <w:p>
      <w:pPr>
        <w:widowControl/>
        <w:shd w:val="clear" w:color="auto" w:fill="FFFFFF"/>
        <w:spacing w:line="640" w:lineRule="exact"/>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有新作为</w:t>
      </w:r>
    </w:p>
    <w:p>
      <w:pPr>
        <w:widowControl/>
        <w:shd w:val="clear" w:color="auto" w:fill="FFFFFF"/>
        <w:spacing w:line="640" w:lineRule="exact"/>
        <w:jc w:val="left"/>
        <w:rPr>
          <w:rFonts w:ascii="仿宋" w:hAnsi="仿宋" w:eastAsia="仿宋" w:cs="仿宋"/>
          <w:sz w:val="32"/>
          <w:szCs w:val="32"/>
        </w:rPr>
      </w:pPr>
      <w:r>
        <w:rPr>
          <w:rFonts w:hint="eastAsia" w:ascii="仿宋" w:hAnsi="仿宋" w:eastAsia="仿宋" w:cs="仿宋"/>
          <w:sz w:val="32"/>
          <w:szCs w:val="32"/>
        </w:rPr>
        <w:t>积极适应社会主要矛盾新变化，不断提高司法水平，更好满足人民群众日益增长的美好生活需要。</w:t>
      </w:r>
      <w:r>
        <w:rPr>
          <w:rFonts w:hint="eastAsia" w:ascii="仿宋" w:hAnsi="仿宋" w:eastAsia="仿宋" w:cs="仿宋"/>
          <w:color w:val="000000"/>
          <w:kern w:val="0"/>
          <w:sz w:val="32"/>
          <w:szCs w:val="32"/>
          <w:shd w:val="clear" w:color="auto" w:fill="FFFFFF"/>
        </w:rPr>
        <w:t>继续</w:t>
      </w:r>
      <w:r>
        <w:rPr>
          <w:rFonts w:hint="eastAsia" w:ascii="仿宋" w:hAnsi="仿宋" w:eastAsia="仿宋" w:cs="仿宋"/>
          <w:sz w:val="32"/>
          <w:szCs w:val="32"/>
        </w:rPr>
        <w:t>推进以审判为中心的诉讼制度改革，完善非法证据排除机制，完善证人、鉴定人、侦查人员出庭作证制度。深化审判责任制改革，坚持权力与责任相结合、放权与监督相结合、问责与免责相结合，健全审判监督，完善法官业绩考评机制，建立员额退出、法官惩戒等机制，协调推进司法辅助人员单独职务序列和分级分类管理。进一步提升审判质效，2018年诉讼案件结案率不低于95%，法定审限内结案率力争达到100%，庭审直播率不低于15%，服判息诉率不低于75%，让司法改革的红利惠及更多诉讼参与人。</w:t>
      </w:r>
    </w:p>
    <w:p>
      <w:pPr>
        <w:pStyle w:val="2"/>
        <w:shd w:val="clear" w:color="auto" w:fill="FFFFFF"/>
        <w:spacing w:before="0" w:beforeAutospacing="0" w:after="0" w:afterAutospacing="0" w:line="640" w:lineRule="exact"/>
        <w:ind w:firstLine="632"/>
        <w:jc w:val="both"/>
      </w:pPr>
      <w:r>
        <w:rPr>
          <w:rFonts w:hint="eastAsia" w:ascii="黑体" w:hAnsi="黑体" w:eastAsia="黑体" w:cs="黑体"/>
          <w:sz w:val="32"/>
          <w:szCs w:val="32"/>
        </w:rPr>
        <w:t xml:space="preserve"> 四、自觉接受监督，在人民满意度上有新提升</w:t>
      </w:r>
    </w:p>
    <w:p>
      <w:pPr>
        <w:spacing w:line="640" w:lineRule="exact"/>
        <w:ind w:firstLine="640" w:firstLineChars="200"/>
      </w:pPr>
      <w:r>
        <w:rPr>
          <w:rFonts w:hint="eastAsia" w:ascii="仿宋" w:hAnsi="仿宋" w:eastAsia="仿宋" w:cs="仿宋"/>
          <w:sz w:val="32"/>
          <w:szCs w:val="32"/>
        </w:rPr>
        <w:t>坚持将审判权置于监督之下，完善接受监督机制，确保审判权依法规范行使。自觉接受人大监督，向人大常委会专题报告工作情况，认真落实本次会议决议和人大常委会的审议意见，切实改进工作；自觉接受政协民主监督，完善联系沟通机制，认真研究采纳有关意见建议；自觉接受检察机关法律监督。认真办理检察建议，支持、配合检察机关履行法律监督职责，共同维护司法公正。自觉接受社会监督，依法保障律师执业权利，推进法律职业共同体建设。</w:t>
      </w:r>
    </w:p>
    <w:p>
      <w:pPr>
        <w:widowControl/>
        <w:shd w:val="clear" w:color="auto" w:fill="FFFFFF"/>
        <w:spacing w:line="64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党的十九大对推进依法治国作出了全面部署，对公正司法、严格司法提出了更高的要求，面对新常态、新形势和新任务，我们将以习近平新时代中国特色社会主义思想为指导，紧密团结在以习近平同志为核心的党中央周围，在县委的坚强领导下，敢于担当，真抓实干，以更加强烈的责任感和使命感，开启新征程，创造新业绩，为</w:t>
      </w:r>
      <w:r>
        <w:rPr>
          <w:rFonts w:hint="eastAsia" w:ascii="仿宋" w:hAnsi="仿宋" w:eastAsia="仿宋" w:cs="仿宋"/>
          <w:sz w:val="32"/>
          <w:szCs w:val="32"/>
        </w:rPr>
        <w:t>建设富裕、文明、开放、宜居新岚县做出新的更大的贡献。</w:t>
      </w:r>
    </w:p>
    <w:p>
      <w:pPr>
        <w:spacing w:line="6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二、收入预算说明</w:t>
      </w:r>
    </w:p>
    <w:p>
      <w:pPr>
        <w:spacing w:line="6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2018年收入预算1,865,198.00元。其中：财政拨款1,865,198.00元。2017年财政拨款10,216,729.82元，比上年减少8,351,531.82元。</w:t>
      </w:r>
    </w:p>
    <w:p>
      <w:pPr>
        <w:spacing w:line="6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三、支出预算说明</w:t>
      </w:r>
    </w:p>
    <w:p>
      <w:pPr>
        <w:spacing w:line="6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2018年支出预算按用途划分：（1）人员支出预算853,788.00元，2017年人员支出5,106,802.00元，比上年减少4,253,014.00元。公用支出55,890.00元，2017年度公用经费2,243,570.32元，比上年减少2,187,680.32元。（2）项目支出预算955,520.00元，2017年度项目款3,011,188.79元，比上年减少2,055,668.79元。主要项目是①国家赔偿金500,000.00元②院内道路硬化及修缮金300,000.00元③2017年加班补贴和法警补贴155,520.00元。（涉及项目专业术语需做解释说明）</w:t>
      </w:r>
    </w:p>
    <w:p>
      <w:pPr>
        <w:spacing w:line="6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（二）2018年涉及政府采购项目个，预算资金元。</w:t>
      </w:r>
    </w:p>
    <w:p>
      <w:pPr>
        <w:spacing w:line="6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（三）2018年涉及政府购买服务项目个，预算资金元。</w:t>
      </w:r>
    </w:p>
    <w:p>
      <w:pPr>
        <w:spacing w:line="6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（四）2018年三公经费共计元，比去年减少302,444.99元，公务接待费 元，比上年度增加 元。其中因公出国（境）元，比去年增（减）元；公务用车购置及运行维护费元，比去年减少299,708.99元。</w:t>
      </w:r>
    </w:p>
    <w:p>
      <w:pPr>
        <w:spacing w:line="6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（其中公务用车购置费元，公务用车运行维护费元，）比上年减少299,708.99元。</w:t>
      </w:r>
    </w:p>
    <w:p>
      <w:pPr>
        <w:spacing w:line="6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（五）2018年机关运行经费预算情况 </w:t>
      </w:r>
    </w:p>
    <w:p>
      <w:pPr>
        <w:spacing w:line="6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2018年本部门（含下属单位）履行一般行政事业管理职能、维持机关运行，用于一般公共预算安排的行政运行经费，合计55,890.00元，比上年减少2,187,680.32元。</w:t>
      </w:r>
    </w:p>
    <w:p>
      <w:pPr>
        <w:pStyle w:val="5"/>
        <w:numPr>
          <w:ilvl w:val="0"/>
          <w:numId w:val="3"/>
        </w:numPr>
        <w:spacing w:line="660" w:lineRule="exact"/>
        <w:ind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重点项目绩效目标实施情况说明</w:t>
      </w:r>
    </w:p>
    <w:p>
      <w:pPr>
        <w:spacing w:line="660" w:lineRule="exact"/>
        <w:ind w:left="640"/>
        <w:rPr>
          <w:rFonts w:hint="eastAsia" w:ascii="仿宋" w:hAnsi="仿宋" w:eastAsia="仿宋" w:cs="仿宋"/>
          <w:sz w:val="32"/>
          <w:szCs w:val="32"/>
        </w:rPr>
      </w:pPr>
      <w:r>
        <w:rPr>
          <w:rFonts w:hint="eastAsia" w:ascii="仿宋" w:hAnsi="仿宋" w:eastAsia="仿宋" w:cs="仿宋"/>
          <w:sz w:val="32"/>
          <w:szCs w:val="32"/>
        </w:rPr>
        <w:t>本年度根据上级确定的重点项目均制定出切实可行的绩效目标，并在预算执行年度在认真组织实施。</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 名词解释</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1、基本支出：指为保障机构正常运转、完成日常工作任务而发生的人员支出和公用支出。</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2、项目支出：指在基本支出之外为完成特定行政任务和事业发展目标所发生的支出。</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4、机关运行经费：指行政单位和参照公务员法管理的事业单位使用一般公共预算安排的基本支出中的日常公用经费支出。</w:t>
      </w:r>
    </w:p>
    <w:p>
      <w:pPr>
        <w:spacing w:line="660" w:lineRule="exact"/>
        <w:ind w:left="640"/>
        <w:rPr>
          <w:rFonts w:asciiTheme="minorEastAsia" w:hAnsiTheme="minorEastAsia" w:eastAsiaTheme="minorEastAsia" w:cstheme="minorEastAsia"/>
          <w:sz w:val="32"/>
          <w:szCs w:val="32"/>
        </w:rPr>
      </w:pPr>
    </w:p>
    <w:p>
      <w:pPr>
        <w:spacing w:line="660" w:lineRule="exact"/>
        <w:ind w:left="640"/>
        <w:rPr>
          <w:rFonts w:asciiTheme="minorEastAsia" w:hAnsiTheme="minorEastAsia" w:eastAsiaTheme="minorEastAsia" w:cstheme="minorEastAsia"/>
          <w:sz w:val="32"/>
          <w:szCs w:val="32"/>
        </w:rPr>
      </w:pPr>
    </w:p>
    <w:p>
      <w:pPr>
        <w:spacing w:line="660" w:lineRule="exact"/>
        <w:ind w:firstLine="64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岚县人民法院</w:t>
      </w:r>
    </w:p>
    <w:p>
      <w:pPr>
        <w:spacing w:line="660" w:lineRule="exact"/>
        <w:ind w:firstLine="64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二0一八年五月十五日</w:t>
      </w:r>
    </w:p>
    <w:p>
      <w:pPr>
        <w:spacing w:line="660" w:lineRule="exact"/>
        <w:rPr>
          <w:rFonts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46D5F"/>
    <w:multiLevelType w:val="singleLevel"/>
    <w:tmpl w:val="AC146D5F"/>
    <w:lvl w:ilvl="0" w:tentative="0">
      <w:start w:val="3"/>
      <w:numFmt w:val="chineseCounting"/>
      <w:suff w:val="nothing"/>
      <w:lvlText w:val="（%1）"/>
      <w:lvlJc w:val="left"/>
      <w:pPr>
        <w:ind w:left="640" w:firstLine="0"/>
      </w:pPr>
      <w:rPr>
        <w:rFonts w:hint="eastAsia"/>
      </w:rPr>
    </w:lvl>
  </w:abstractNum>
  <w:abstractNum w:abstractNumId="1">
    <w:nsid w:val="5AB35D88"/>
    <w:multiLevelType w:val="singleLevel"/>
    <w:tmpl w:val="5AB35D88"/>
    <w:lvl w:ilvl="0" w:tentative="0">
      <w:start w:val="1"/>
      <w:numFmt w:val="chineseCounting"/>
      <w:suff w:val="nothing"/>
      <w:lvlText w:val="%1、"/>
      <w:lvlJc w:val="left"/>
    </w:lvl>
  </w:abstractNum>
  <w:abstractNum w:abstractNumId="2">
    <w:nsid w:val="7AA54BE4"/>
    <w:multiLevelType w:val="multilevel"/>
    <w:tmpl w:val="7AA54BE4"/>
    <w:lvl w:ilvl="0" w:tentative="0">
      <w:start w:val="6"/>
      <w:numFmt w:val="japaneseCounting"/>
      <w:lvlText w:val="（%1）"/>
      <w:lvlJc w:val="left"/>
      <w:pPr>
        <w:ind w:left="1648"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lZDU1MWMwNjE4NDEzZjZiYmRmOWY2YjNjOWZjZTQifQ=="/>
  </w:docVars>
  <w:rsids>
    <w:rsidRoot w:val="6E255F68"/>
    <w:rsid w:val="008D0F26"/>
    <w:rsid w:val="00C51352"/>
    <w:rsid w:val="08AF5CF4"/>
    <w:rsid w:val="0F49710F"/>
    <w:rsid w:val="11DC40DD"/>
    <w:rsid w:val="127260D4"/>
    <w:rsid w:val="2B1278B1"/>
    <w:rsid w:val="42FA2BDC"/>
    <w:rsid w:val="43926F46"/>
    <w:rsid w:val="50CD4C5D"/>
    <w:rsid w:val="56255381"/>
    <w:rsid w:val="5B9F5E89"/>
    <w:rsid w:val="5D7471B9"/>
    <w:rsid w:val="66764510"/>
    <w:rsid w:val="6D535020"/>
    <w:rsid w:val="6E255F68"/>
    <w:rsid w:val="6F6C4051"/>
    <w:rsid w:val="6FE64B03"/>
    <w:rsid w:val="73250272"/>
    <w:rsid w:val="774362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1"/>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7</Pages>
  <Words>480</Words>
  <Characters>2736</Characters>
  <Lines>22</Lines>
  <Paragraphs>6</Paragraphs>
  <TotalTime>1</TotalTime>
  <ScaleCrop>false</ScaleCrop>
  <LinksUpToDate>false</LinksUpToDate>
  <CharactersWithSpaces>3210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2018-05-14T01:18:00Z</dcterms:created>
  <dc:creator>程浩</dc:creator>
  <cp:lastModifiedBy></cp:lastModifiedBy>
  <dcterms:modified xsi:type="dcterms:W3CDTF">2024-03-12T00:56:56Z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88199B76401D4591B4E07D300EBF8597_12</vt:lpwstr>
  </property>
</Properties>
</file>