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081" w:type="dxa"/>
        <w:tblInd w:w="93" w:type="dxa"/>
        <w:shd w:val="clear" w:color="auto" w:fill="auto"/>
        <w:tblLayout w:type="fixed"/>
        <w:tblCellMar>
          <w:top w:w="0" w:type="dxa"/>
          <w:left w:w="108" w:type="dxa"/>
          <w:bottom w:w="0" w:type="dxa"/>
          <w:right w:w="108" w:type="dxa"/>
        </w:tblCellMar>
      </w:tblPr>
      <w:tblGrid>
        <w:gridCol w:w="2220"/>
        <w:gridCol w:w="817"/>
        <w:gridCol w:w="676"/>
        <w:gridCol w:w="4639"/>
        <w:gridCol w:w="566"/>
        <w:gridCol w:w="5163"/>
      </w:tblGrid>
      <w:tr>
        <w:tblPrEx>
          <w:shd w:val="clear" w:color="auto" w:fill="auto"/>
          <w:tblLayout w:type="fixed"/>
          <w:tblCellMar>
            <w:top w:w="0" w:type="dxa"/>
            <w:left w:w="108" w:type="dxa"/>
            <w:bottom w:w="0" w:type="dxa"/>
            <w:right w:w="108" w:type="dxa"/>
          </w:tblCellMar>
        </w:tblPrEx>
        <w:trPr>
          <w:trHeight w:val="700" w:hRule="atLeast"/>
        </w:trPr>
        <w:tc>
          <w:tcPr>
            <w:tcW w:w="14081"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预防接种异常反应调查诊断廉政风险防控图</w:t>
            </w:r>
          </w:p>
        </w:tc>
      </w:tr>
      <w:tr>
        <w:tblPrEx>
          <w:tblLayout w:type="fixed"/>
          <w:tblCellMar>
            <w:top w:w="0" w:type="dxa"/>
            <w:left w:w="108" w:type="dxa"/>
            <w:bottom w:w="0" w:type="dxa"/>
            <w:right w:w="108" w:type="dxa"/>
          </w:tblCellMar>
        </w:tblPrEx>
        <w:trPr>
          <w:trHeight w:val="900" w:hRule="atLeast"/>
        </w:trPr>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1、诊断工作结束后30天内做出诊断结论</w:t>
            </w:r>
          </w:p>
        </w:tc>
        <w:tc>
          <w:tcPr>
            <w:tcW w:w="67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103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做出诊断结论后，负责调查诊断的疾控中心按诊断结论及时进行网络个案订正，将调查诊断书与尸检报告上传至监测系统 </w:t>
            </w:r>
          </w:p>
        </w:tc>
      </w:tr>
      <w:tr>
        <w:tblPrEx>
          <w:tblLayout w:type="fixed"/>
          <w:tblCellMar>
            <w:top w:w="0" w:type="dxa"/>
            <w:left w:w="108" w:type="dxa"/>
            <w:bottom w:w="0" w:type="dxa"/>
            <w:right w:w="108" w:type="dxa"/>
          </w:tblCellMar>
        </w:tblPrEx>
        <w:trPr>
          <w:trHeight w:val="300" w:hRule="atLeast"/>
        </w:trPr>
        <w:tc>
          <w:tcPr>
            <w:tcW w:w="14081"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r>
      <w:tr>
        <w:tblPrEx>
          <w:tblLayout w:type="fixed"/>
          <w:tblCellMar>
            <w:top w:w="0" w:type="dxa"/>
            <w:left w:w="108" w:type="dxa"/>
            <w:bottom w:w="0" w:type="dxa"/>
            <w:right w:w="108" w:type="dxa"/>
          </w:tblCellMar>
        </w:tblPrEx>
        <w:trPr>
          <w:trHeight w:val="500" w:hRule="atLeast"/>
        </w:trPr>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2、调查诊断书送至</w:t>
            </w:r>
          </w:p>
        </w:tc>
        <w:tc>
          <w:tcPr>
            <w:tcW w:w="67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103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2、调查诊断结论报告</w:t>
            </w:r>
          </w:p>
        </w:tc>
      </w:tr>
      <w:tr>
        <w:tblPrEx>
          <w:tblLayout w:type="fixed"/>
          <w:tblCellMar>
            <w:top w:w="0" w:type="dxa"/>
            <w:left w:w="108" w:type="dxa"/>
            <w:bottom w:w="0" w:type="dxa"/>
            <w:right w:w="108" w:type="dxa"/>
          </w:tblCellMar>
        </w:tblPrEx>
        <w:trPr>
          <w:trHeight w:val="300" w:hRule="atLeast"/>
        </w:trPr>
        <w:tc>
          <w:tcPr>
            <w:tcW w:w="222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817" w:type="dxa"/>
            <w:tcBorders>
              <w:top w:val="nil"/>
              <w:left w:val="nil"/>
              <w:bottom w:val="nil"/>
              <w:right w:val="nil"/>
            </w:tcBorders>
            <w:shd w:val="clear" w:color="auto" w:fill="auto"/>
            <w:vAlign w:val="center"/>
          </w:tcPr>
          <w:p>
            <w:pPr>
              <w:jc w:val="center"/>
              <w:rPr>
                <w:rFonts w:hint="default" w:ascii="Calibri" w:hAnsi="Calibri" w:eastAsia="宋体" w:cs="Calibri"/>
                <w:i w:val="0"/>
                <w:iCs w:val="0"/>
                <w:color w:val="000000"/>
                <w:sz w:val="22"/>
                <w:szCs w:val="22"/>
                <w:u w:val="none"/>
              </w:rPr>
            </w:pPr>
          </w:p>
        </w:tc>
        <w:tc>
          <w:tcPr>
            <w:tcW w:w="676" w:type="dxa"/>
            <w:tcBorders>
              <w:top w:val="nil"/>
              <w:left w:val="nil"/>
              <w:bottom w:val="nil"/>
              <w:right w:val="nil"/>
            </w:tcBorders>
            <w:shd w:val="clear" w:color="auto" w:fill="auto"/>
            <w:vAlign w:val="center"/>
          </w:tcPr>
          <w:p>
            <w:pPr>
              <w:jc w:val="center"/>
              <w:rPr>
                <w:rFonts w:hint="default" w:ascii="Calibri" w:hAnsi="Calibri" w:eastAsia="宋体" w:cs="Calibri"/>
                <w:i w:val="0"/>
                <w:iCs w:val="0"/>
                <w:color w:val="000000"/>
                <w:sz w:val="22"/>
                <w:szCs w:val="22"/>
                <w:u w:val="none"/>
              </w:rPr>
            </w:pPr>
          </w:p>
        </w:tc>
        <w:tc>
          <w:tcPr>
            <w:tcW w:w="4639"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56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51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r>
        <w:tblPrEx>
          <w:tblLayout w:type="fixed"/>
          <w:tblCellMar>
            <w:top w:w="0" w:type="dxa"/>
            <w:left w:w="108" w:type="dxa"/>
            <w:bottom w:w="0" w:type="dxa"/>
            <w:right w:w="108" w:type="dxa"/>
          </w:tblCellMar>
        </w:tblPrEx>
        <w:trPr>
          <w:trHeight w:val="1460" w:hRule="atLeast"/>
        </w:trPr>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受种方、接种单位疫苗生产企业</w:t>
            </w:r>
          </w:p>
        </w:tc>
        <w:tc>
          <w:tcPr>
            <w:tcW w:w="67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4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县级卫健局、县级市场监督管理局</w:t>
            </w:r>
          </w:p>
        </w:tc>
        <w:tc>
          <w:tcPr>
            <w:tcW w:w="56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5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1、怀疑为接种实施因素引起的建议向接种所在地的医学会申请医疗事故鉴定；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2、怀疑疫苗质量问题引起的，由县级市场监督局调查是否存在疫苗质量问题</w:t>
            </w:r>
          </w:p>
        </w:tc>
      </w:tr>
      <w:tr>
        <w:tblPrEx>
          <w:tblLayout w:type="fixed"/>
          <w:tblCellMar>
            <w:top w:w="0" w:type="dxa"/>
            <w:left w:w="108" w:type="dxa"/>
            <w:bottom w:w="0" w:type="dxa"/>
            <w:right w:w="108" w:type="dxa"/>
          </w:tblCellMar>
        </w:tblPrEx>
        <w:trPr>
          <w:trHeight w:val="300" w:hRule="atLeast"/>
        </w:trPr>
        <w:tc>
          <w:tcPr>
            <w:tcW w:w="14081"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r>
      <w:tr>
        <w:tblPrEx>
          <w:tblLayout w:type="fixed"/>
          <w:tblCellMar>
            <w:top w:w="0" w:type="dxa"/>
            <w:left w:w="108" w:type="dxa"/>
            <w:bottom w:w="0" w:type="dxa"/>
            <w:right w:w="108" w:type="dxa"/>
          </w:tblCellMar>
        </w:tblPrEx>
        <w:trPr>
          <w:trHeight w:val="500" w:hRule="atLeast"/>
        </w:trPr>
        <w:tc>
          <w:tcPr>
            <w:tcW w:w="1408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向医学会申请预防接种异常反应鉴定</w:t>
            </w:r>
          </w:p>
        </w:tc>
      </w:tr>
      <w:tr>
        <w:tblPrEx>
          <w:tblLayout w:type="fixed"/>
          <w:tblCellMar>
            <w:top w:w="0" w:type="dxa"/>
            <w:left w:w="108" w:type="dxa"/>
            <w:bottom w:w="0" w:type="dxa"/>
            <w:right w:w="108" w:type="dxa"/>
          </w:tblCellMar>
        </w:tblPrEx>
        <w:trPr>
          <w:trHeight w:val="1000" w:hRule="atLeast"/>
        </w:trPr>
        <w:tc>
          <w:tcPr>
            <w:tcW w:w="14081" w:type="dxa"/>
            <w:gridSpan w:val="6"/>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40"/>
                <w:szCs w:val="40"/>
                <w:u w:val="none"/>
                <w:lang w:val="en-US" w:eastAsia="zh-CN" w:bidi="ar"/>
              </w:rPr>
              <w:t>预防接种异常反应调查诊断廉政风险补偿与鉴定</w:t>
            </w:r>
          </w:p>
        </w:tc>
      </w:tr>
      <w:tr>
        <w:tblPrEx>
          <w:tblLayout w:type="fixed"/>
          <w:tblCellMar>
            <w:top w:w="0" w:type="dxa"/>
            <w:left w:w="108" w:type="dxa"/>
            <w:bottom w:w="0" w:type="dxa"/>
            <w:right w:w="108" w:type="dxa"/>
          </w:tblCellMar>
        </w:tblPrEx>
        <w:trPr>
          <w:trHeight w:val="160" w:hRule="atLeast"/>
        </w:trPr>
        <w:tc>
          <w:tcPr>
            <w:tcW w:w="22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81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6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6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56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51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r>
        <w:tblPrEx>
          <w:tblLayout w:type="fixed"/>
          <w:tblCellMar>
            <w:top w:w="0" w:type="dxa"/>
            <w:left w:w="108" w:type="dxa"/>
            <w:bottom w:w="0" w:type="dxa"/>
            <w:right w:w="108" w:type="dxa"/>
          </w:tblCellMar>
        </w:tblPrEx>
        <w:trPr>
          <w:trHeight w:val="840" w:hRule="atLeast"/>
        </w:trPr>
        <w:tc>
          <w:tcPr>
            <w:tcW w:w="303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受种方、接种单位疫苗生产企业</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4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对诊断结论无异议</w:t>
            </w:r>
          </w:p>
        </w:tc>
        <w:tc>
          <w:tcPr>
            <w:tcW w:w="56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5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诊断结论为无异常结案</w:t>
            </w:r>
          </w:p>
        </w:tc>
      </w:tr>
      <w:tr>
        <w:tblPrEx>
          <w:tblLayout w:type="fixed"/>
          <w:tblCellMar>
            <w:top w:w="0" w:type="dxa"/>
            <w:left w:w="108" w:type="dxa"/>
            <w:bottom w:w="0" w:type="dxa"/>
            <w:right w:w="108" w:type="dxa"/>
          </w:tblCellMar>
        </w:tblPrEx>
        <w:trPr>
          <w:trHeight w:val="740" w:hRule="atLeast"/>
        </w:trPr>
        <w:tc>
          <w:tcPr>
            <w:tcW w:w="303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4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对诊断结论有异议</w:t>
            </w:r>
          </w:p>
        </w:tc>
        <w:tc>
          <w:tcPr>
            <w:tcW w:w="56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5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诊断结论为异常反应可申请补偿</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E03C66"/>
    <w:rsid w:val="17E03C66"/>
    <w:rsid w:val="53741C9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2021-05-24T08:47:00Z</dcterms:created>
  <dc:creator>Lvya^</dc:creator>
  <cp:lastModifiedBy>lx</cp:lastModifiedBy>
  <dcterms:modified xsi:type="dcterms:W3CDTF">2021-07-21T03:16:00Z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y fmtid="{D5CDD505-2E9C-101B-9397-08002B2CF9AE}" pid="3" name="ICV">
    <vt:lpwstr>A5DB31064E4B4FA79D4A3F62018D1B57</vt:lpwstr>
  </property>
</Properties>
</file>